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5AF04" w14:textId="14DB866F" w:rsidR="001772C5" w:rsidRPr="001772C5" w:rsidRDefault="001772C5" w:rsidP="000F7896">
      <w:pPr>
        <w:rPr>
          <w:rFonts w:ascii="Verdana" w:hAnsi="Verdana"/>
          <w:sz w:val="28"/>
          <w:szCs w:val="28"/>
          <w:lang w:val="fr-FR"/>
        </w:rPr>
      </w:pPr>
      <w:r w:rsidRPr="001772C5">
        <w:rPr>
          <w:rFonts w:ascii="Verdana" w:hAnsi="Verdana"/>
          <w:sz w:val="28"/>
          <w:szCs w:val="28"/>
          <w:lang w:val="fr-FR"/>
        </w:rPr>
        <w:t>Leçon 2.1 Preuve numérique et électronique</w:t>
      </w:r>
    </w:p>
    <w:p w14:paraId="1D0E3DC5" w14:textId="77777777" w:rsidR="00C115FC" w:rsidRPr="001772C5" w:rsidRDefault="00C115FC" w:rsidP="00C115FC">
      <w:pPr>
        <w:ind w:left="360"/>
        <w:rPr>
          <w:rFonts w:ascii="Verdana" w:hAnsi="Verdana"/>
          <w:lang w:val="fr-FR"/>
        </w:rPr>
      </w:pPr>
    </w:p>
    <w:tbl>
      <w:tblPr>
        <w:tblStyle w:val="TableGrid"/>
        <w:tblW w:w="0" w:type="auto"/>
        <w:tblLayout w:type="fixed"/>
        <w:tblLook w:val="04A0" w:firstRow="1" w:lastRow="0" w:firstColumn="1" w:lastColumn="0" w:noHBand="0" w:noVBand="1"/>
      </w:tblPr>
      <w:tblGrid>
        <w:gridCol w:w="1838"/>
        <w:gridCol w:w="5007"/>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FFAA410" w:rsidR="001772C5" w:rsidRPr="001772C5" w:rsidRDefault="001772C5" w:rsidP="00C115FC">
            <w:pPr>
              <w:rPr>
                <w:rFonts w:ascii="Verdana" w:hAnsi="Verdana"/>
                <w:sz w:val="22"/>
                <w:szCs w:val="22"/>
                <w:lang w:val="fr-FR"/>
              </w:rPr>
            </w:pPr>
            <w:r w:rsidRPr="001772C5">
              <w:rPr>
                <w:rFonts w:ascii="Verdana" w:hAnsi="Verdana"/>
                <w:sz w:val="22"/>
                <w:szCs w:val="22"/>
                <w:lang w:val="fr-FR"/>
              </w:rPr>
              <w:t>Leçon 2.1 Preuve numérique et électronique</w:t>
            </w:r>
          </w:p>
        </w:tc>
        <w:tc>
          <w:tcPr>
            <w:tcW w:w="2165" w:type="dxa"/>
            <w:shd w:val="clear" w:color="auto" w:fill="DEEAF6" w:themeFill="accent5" w:themeFillTint="33"/>
            <w:vAlign w:val="center"/>
          </w:tcPr>
          <w:p w14:paraId="30B631DA" w14:textId="6E9AF2F0" w:rsidR="001772C5" w:rsidRPr="00D82C18" w:rsidRDefault="001772C5" w:rsidP="00C115FC">
            <w:pPr>
              <w:rPr>
                <w:rFonts w:ascii="Verdana" w:hAnsi="Verdana"/>
                <w:sz w:val="22"/>
                <w:szCs w:val="22"/>
              </w:rPr>
            </w:pPr>
            <w:r>
              <w:rPr>
                <w:rFonts w:ascii="Verdana" w:hAnsi="Verdana"/>
                <w:color w:val="000000" w:themeColor="text1"/>
                <w:sz w:val="22"/>
                <w:szCs w:val="22"/>
              </w:rPr>
              <w:t>Durée: 90 minutes</w:t>
            </w:r>
          </w:p>
        </w:tc>
      </w:tr>
      <w:tr w:rsidR="00E7344B" w:rsidRPr="007709C8" w14:paraId="7C1107AB" w14:textId="77777777" w:rsidTr="00F1574D">
        <w:trPr>
          <w:trHeight w:val="5507"/>
        </w:trPr>
        <w:tc>
          <w:tcPr>
            <w:tcW w:w="9010" w:type="dxa"/>
            <w:gridSpan w:val="3"/>
            <w:vAlign w:val="center"/>
          </w:tcPr>
          <w:p w14:paraId="256F28CD" w14:textId="7ECFCB24" w:rsidR="001772C5" w:rsidRPr="001772C5" w:rsidRDefault="001772C5" w:rsidP="001772C5">
            <w:pPr>
              <w:pStyle w:val="bul1"/>
              <w:numPr>
                <w:ilvl w:val="0"/>
                <w:numId w:val="0"/>
              </w:numPr>
              <w:spacing w:before="120" w:line="280" w:lineRule="exact"/>
              <w:ind w:left="851" w:hanging="851"/>
              <w:rPr>
                <w:b/>
                <w:bCs/>
                <w:sz w:val="22"/>
                <w:szCs w:val="22"/>
                <w:lang w:val="en-US"/>
              </w:rPr>
            </w:pPr>
            <w:proofErr w:type="spellStart"/>
            <w:r w:rsidRPr="001772C5">
              <w:rPr>
                <w:b/>
                <w:bCs/>
                <w:sz w:val="22"/>
                <w:szCs w:val="22"/>
                <w:lang w:val="en-US"/>
              </w:rPr>
              <w:t>Ressources</w:t>
            </w:r>
            <w:proofErr w:type="spellEnd"/>
            <w:r w:rsidRPr="001772C5">
              <w:rPr>
                <w:b/>
                <w:bCs/>
                <w:sz w:val="22"/>
                <w:szCs w:val="22"/>
                <w:lang w:val="en-US"/>
              </w:rPr>
              <w:t xml:space="preserve"> </w:t>
            </w:r>
            <w:proofErr w:type="spellStart"/>
            <w:r w:rsidRPr="001772C5">
              <w:rPr>
                <w:b/>
                <w:bCs/>
                <w:sz w:val="22"/>
                <w:szCs w:val="22"/>
                <w:lang w:val="en-US"/>
              </w:rPr>
              <w:t>nécessaires</w:t>
            </w:r>
            <w:proofErr w:type="spellEnd"/>
            <w:r w:rsidRPr="001772C5">
              <w:rPr>
                <w:b/>
                <w:bCs/>
                <w:sz w:val="22"/>
                <w:szCs w:val="22"/>
                <w:lang w:val="en-US"/>
              </w:rPr>
              <w:t xml:space="preserve">: </w:t>
            </w:r>
          </w:p>
          <w:p w14:paraId="347D058F" w14:textId="19AA3CD7" w:rsidR="001772C5" w:rsidRPr="001772C5" w:rsidRDefault="001772C5" w:rsidP="001772C5">
            <w:pPr>
              <w:pStyle w:val="bul1"/>
              <w:spacing w:before="120" w:line="280" w:lineRule="exact"/>
              <w:ind w:hanging="260"/>
              <w:rPr>
                <w:lang w:val="fr-FR"/>
              </w:rPr>
            </w:pPr>
            <w:r w:rsidRPr="001772C5">
              <w:rPr>
                <w:lang w:val="fr-FR"/>
              </w:rPr>
              <w:t xml:space="preserve">PC/ordinateur portable chargé avec des versions de logiciel compatibles avec les matériaux préparés </w:t>
            </w:r>
          </w:p>
          <w:p w14:paraId="3B4B048F" w14:textId="3DCA469F" w:rsidR="001772C5" w:rsidRPr="001772C5" w:rsidRDefault="001772C5" w:rsidP="001772C5">
            <w:pPr>
              <w:pStyle w:val="bul1"/>
              <w:spacing w:before="120" w:line="280" w:lineRule="exact"/>
              <w:ind w:hanging="260"/>
              <w:rPr>
                <w:lang w:val="fr-FR"/>
              </w:rPr>
            </w:pPr>
            <w:r w:rsidRPr="001772C5">
              <w:rPr>
                <w:lang w:val="fr-FR"/>
              </w:rPr>
              <w:t xml:space="preserve">Accès à Internet (si disponible) </w:t>
            </w:r>
          </w:p>
          <w:p w14:paraId="47FAB1F9" w14:textId="7B9E2062" w:rsidR="001772C5" w:rsidRPr="001772C5" w:rsidRDefault="001772C5" w:rsidP="001772C5">
            <w:pPr>
              <w:pStyle w:val="bul1"/>
              <w:spacing w:before="120" w:line="280" w:lineRule="exact"/>
              <w:ind w:hanging="260"/>
              <w:rPr>
                <w:lang w:val="en-US"/>
              </w:rPr>
            </w:pPr>
            <w:proofErr w:type="spellStart"/>
            <w:r w:rsidRPr="001772C5">
              <w:rPr>
                <w:lang w:val="en-US"/>
              </w:rPr>
              <w:t>Présentation</w:t>
            </w:r>
            <w:proofErr w:type="spellEnd"/>
            <w:r w:rsidRPr="001772C5">
              <w:rPr>
                <w:lang w:val="en-US"/>
              </w:rPr>
              <w:t xml:space="preserve"> PowerPoint </w:t>
            </w:r>
            <w:proofErr w:type="spellStart"/>
            <w:r w:rsidRPr="001772C5">
              <w:rPr>
                <w:lang w:val="en-US"/>
              </w:rPr>
              <w:t>ou</w:t>
            </w:r>
            <w:proofErr w:type="spellEnd"/>
            <w:r w:rsidRPr="001772C5">
              <w:rPr>
                <w:lang w:val="en-US"/>
              </w:rPr>
              <w:t xml:space="preserve"> </w:t>
            </w:r>
            <w:proofErr w:type="spellStart"/>
            <w:r w:rsidRPr="001772C5">
              <w:rPr>
                <w:lang w:val="en-US"/>
              </w:rPr>
              <w:t>autre</w:t>
            </w:r>
            <w:proofErr w:type="spellEnd"/>
            <w:r w:rsidRPr="001772C5">
              <w:rPr>
                <w:lang w:val="en-US"/>
              </w:rPr>
              <w:t xml:space="preserve"> </w:t>
            </w:r>
          </w:p>
          <w:p w14:paraId="778A76FE" w14:textId="3B9F934F" w:rsidR="001772C5" w:rsidRPr="001772C5" w:rsidRDefault="001772C5" w:rsidP="001772C5">
            <w:pPr>
              <w:pStyle w:val="bul1"/>
              <w:spacing w:before="120" w:line="280" w:lineRule="exact"/>
              <w:ind w:hanging="260"/>
              <w:rPr>
                <w:lang w:val="fr-FR"/>
              </w:rPr>
            </w:pPr>
            <w:r w:rsidRPr="001772C5">
              <w:rPr>
                <w:lang w:val="fr-FR"/>
              </w:rPr>
              <w:t>Exemples de matériel informatique (si disponible) *</w:t>
            </w:r>
          </w:p>
          <w:p w14:paraId="1603F0CD" w14:textId="665085BD" w:rsidR="001772C5" w:rsidRPr="001772C5" w:rsidRDefault="001772C5" w:rsidP="001772C5">
            <w:pPr>
              <w:pStyle w:val="bul1"/>
              <w:spacing w:before="120" w:line="280" w:lineRule="exact"/>
              <w:ind w:hanging="260"/>
              <w:rPr>
                <w:lang w:val="fr-FR"/>
              </w:rPr>
            </w:pPr>
            <w:r w:rsidRPr="001772C5">
              <w:rPr>
                <w:lang w:val="fr-FR"/>
              </w:rPr>
              <w:t>Copie du guide de la preuve électronique du Conseil de l'Europe</w:t>
            </w:r>
          </w:p>
          <w:p w14:paraId="3039AC22" w14:textId="1BCC3DB9" w:rsidR="001772C5" w:rsidRPr="001772C5" w:rsidRDefault="001772C5" w:rsidP="001772C5">
            <w:pPr>
              <w:pStyle w:val="bul1"/>
              <w:spacing w:before="120" w:line="280" w:lineRule="exact"/>
              <w:ind w:hanging="260"/>
              <w:rPr>
                <w:lang w:val="fr-FR"/>
              </w:rPr>
            </w:pPr>
            <w:r w:rsidRPr="001772C5">
              <w:rPr>
                <w:lang w:val="fr-FR"/>
              </w:rPr>
              <w:t>Copie de la lecture préalable de la preuve électronique pour ce cours</w:t>
            </w:r>
          </w:p>
          <w:p w14:paraId="2F8D6F04" w14:textId="17A7F33C" w:rsidR="001772C5" w:rsidRPr="001772C5" w:rsidRDefault="001772C5" w:rsidP="001772C5">
            <w:pPr>
              <w:pStyle w:val="bul1"/>
              <w:spacing w:before="120" w:line="280" w:lineRule="exact"/>
              <w:ind w:hanging="260"/>
              <w:rPr>
                <w:lang w:val="fr-FR"/>
              </w:rPr>
            </w:pPr>
            <w:r w:rsidRPr="001772C5">
              <w:rPr>
                <w:lang w:val="fr-FR"/>
              </w:rPr>
              <w:t>Copies imprimées des annexes du guide utilisées dans cette session.</w:t>
            </w:r>
          </w:p>
          <w:p w14:paraId="14CF9EF0" w14:textId="212AF02F" w:rsidR="001772C5" w:rsidRPr="001772C5" w:rsidRDefault="001772C5" w:rsidP="000F7896">
            <w:pPr>
              <w:pStyle w:val="bul1"/>
              <w:numPr>
                <w:ilvl w:val="0"/>
                <w:numId w:val="0"/>
              </w:numPr>
              <w:spacing w:before="120" w:line="280" w:lineRule="exact"/>
              <w:rPr>
                <w:lang w:val="fr-FR"/>
              </w:rPr>
            </w:pPr>
            <w:r w:rsidRPr="001772C5">
              <w:rPr>
                <w:lang w:val="fr-FR"/>
              </w:rPr>
              <w:t>* Il est recommandé au formateur de se procurer divers éléments de matériel informatique à utiliser dans la section suivante. Il doit s'agir d'éléments qui contiendront des preuves et d'autres qui n'en contiendront pas, tels que des chargeurs, des câbles, etc.  Ces articles peuvent ensuite être remis aux délégués et chacun d'entre eux doit indiquer si l'équipement qu'il tient en main peut ou non contenir des preuves électroniques. Il est important de souligner au cours de la session qu'en plus des preuves électroniques, les articles peuvent contenir des preuves traditionnelles telles que des empreintes digitales ou de l'ADN. Les diapositives, numérotées de 18 à 42, illustrant et décrivant les appareils sont présentes pour aider le formateur lorsqu'il n'a pas été possible d'acquérir des appareils physiques pour le cours. Le formateur peut simplement cacher ces diapositives là où les dispositifs sont utilisés ou les utiliser comme matériel de soutien.</w:t>
            </w:r>
          </w:p>
        </w:tc>
      </w:tr>
      <w:tr w:rsidR="00E7344B" w:rsidRPr="007709C8" w14:paraId="635F2EFD" w14:textId="77777777" w:rsidTr="00F1574D">
        <w:trPr>
          <w:trHeight w:val="2879"/>
        </w:trPr>
        <w:tc>
          <w:tcPr>
            <w:tcW w:w="9010" w:type="dxa"/>
            <w:gridSpan w:val="3"/>
            <w:vAlign w:val="center"/>
          </w:tcPr>
          <w:p w14:paraId="3152B953" w14:textId="77663085" w:rsidR="006C75E4" w:rsidRPr="006C75E4" w:rsidRDefault="006C75E4" w:rsidP="006C75E4">
            <w:pPr>
              <w:spacing w:before="120" w:after="120" w:line="280" w:lineRule="exact"/>
              <w:jc w:val="both"/>
              <w:rPr>
                <w:rFonts w:ascii="Verdana" w:hAnsi="Verdana"/>
                <w:b/>
                <w:bCs/>
                <w:iCs/>
                <w:color w:val="000000" w:themeColor="text1"/>
                <w:sz w:val="22"/>
                <w:szCs w:val="22"/>
                <w:lang w:val="fr-FR"/>
              </w:rPr>
            </w:pPr>
            <w:r w:rsidRPr="006C75E4">
              <w:rPr>
                <w:rFonts w:ascii="Verdana" w:hAnsi="Verdana"/>
                <w:b/>
                <w:bCs/>
                <w:iCs/>
                <w:color w:val="000000" w:themeColor="text1"/>
                <w:sz w:val="22"/>
                <w:szCs w:val="22"/>
                <w:lang w:val="fr-FR"/>
              </w:rPr>
              <w:t>Objectif de la session</w:t>
            </w:r>
            <w:r w:rsidR="007709C8">
              <w:rPr>
                <w:rFonts w:ascii="Verdana" w:hAnsi="Verdana"/>
                <w:b/>
                <w:bCs/>
                <w:iCs/>
                <w:color w:val="000000" w:themeColor="text1"/>
                <w:sz w:val="22"/>
                <w:szCs w:val="22"/>
                <w:lang w:val="fr-FR"/>
              </w:rPr>
              <w:t xml:space="preserve"> </w:t>
            </w:r>
            <w:r w:rsidRPr="006C75E4">
              <w:rPr>
                <w:rFonts w:ascii="Verdana" w:hAnsi="Verdana"/>
                <w:b/>
                <w:bCs/>
                <w:iCs/>
                <w:color w:val="000000" w:themeColor="text1"/>
                <w:sz w:val="22"/>
                <w:szCs w:val="22"/>
                <w:lang w:val="fr-FR"/>
              </w:rPr>
              <w:t xml:space="preserve">:  </w:t>
            </w:r>
          </w:p>
          <w:p w14:paraId="3FE58655" w14:textId="4D9C8270" w:rsidR="006C75E4" w:rsidRPr="006C75E4" w:rsidRDefault="006C75E4" w:rsidP="006C75E4">
            <w:pPr>
              <w:spacing w:before="120" w:after="120" w:line="280" w:lineRule="exact"/>
              <w:jc w:val="both"/>
              <w:rPr>
                <w:rFonts w:ascii="Verdana" w:hAnsi="Verdana"/>
                <w:i/>
                <w:color w:val="FF0000"/>
                <w:sz w:val="18"/>
                <w:szCs w:val="18"/>
                <w:lang w:val="fr-FR"/>
              </w:rPr>
            </w:pPr>
            <w:r w:rsidRPr="006C75E4">
              <w:rPr>
                <w:rFonts w:ascii="Verdana" w:hAnsi="Verdana"/>
                <w:iCs/>
                <w:color w:val="000000" w:themeColor="text1"/>
                <w:sz w:val="18"/>
                <w:szCs w:val="18"/>
                <w:lang w:val="fr-FR"/>
              </w:rPr>
              <w:t>L'objectif de cette session est de fournir aux juges et aux procureurs des connaissances sur les questions relatives aux preuves électroniques telles que les différents types qu'ils peuvent rencontrer, comment elles sont récupérées et traitées pendant les enquêtes et produites pour les procès criminels.   Des connaissances supplémentaires sur les défis de la récupération de telles preuves dans d'autres juridictions sont également fournies. En outre, la transition des preuves électroniques de la saisie à l'examen et à la production est abordée dans une courte session décrivant la science de la criminalistique numérique. Le niveau de connaissances détaillées requis par les délégués peut varier, en fonction du système juridique du pays et du degré d'implication des délégués dans la phase d'enquête.</w:t>
            </w:r>
          </w:p>
        </w:tc>
      </w:tr>
      <w:tr w:rsidR="00A03CF0" w:rsidRPr="007709C8" w14:paraId="1B5A80A7" w14:textId="77777777" w:rsidTr="001E7389">
        <w:trPr>
          <w:trHeight w:val="983"/>
        </w:trPr>
        <w:tc>
          <w:tcPr>
            <w:tcW w:w="9010" w:type="dxa"/>
            <w:gridSpan w:val="3"/>
            <w:vAlign w:val="center"/>
          </w:tcPr>
          <w:p w14:paraId="29265EF9" w14:textId="725ADCB1" w:rsidR="006C75E4" w:rsidRPr="006C75E4" w:rsidRDefault="006C75E4" w:rsidP="007709C8">
            <w:pPr>
              <w:pStyle w:val="bul1"/>
              <w:numPr>
                <w:ilvl w:val="0"/>
                <w:numId w:val="0"/>
              </w:numPr>
              <w:rPr>
                <w:b/>
                <w:bCs/>
                <w:sz w:val="22"/>
                <w:szCs w:val="22"/>
              </w:rPr>
            </w:pPr>
            <w:r w:rsidRPr="006C75E4">
              <w:rPr>
                <w:b/>
                <w:bCs/>
                <w:sz w:val="22"/>
                <w:szCs w:val="22"/>
              </w:rPr>
              <w:t>Objectifs:</w:t>
            </w:r>
          </w:p>
          <w:p w14:paraId="40162FDA" w14:textId="22D156C8" w:rsidR="006C75E4" w:rsidRDefault="006C75E4" w:rsidP="006C75E4">
            <w:pPr>
              <w:pStyle w:val="bul1"/>
              <w:numPr>
                <w:ilvl w:val="0"/>
                <w:numId w:val="0"/>
              </w:numPr>
              <w:ind w:left="851" w:hanging="851"/>
            </w:pPr>
            <w:r>
              <w:t xml:space="preserve">A la </w:t>
            </w:r>
            <w:proofErr w:type="spellStart"/>
            <w:r>
              <w:t>fin</w:t>
            </w:r>
            <w:proofErr w:type="spellEnd"/>
            <w:r>
              <w:t xml:space="preserve"> de </w:t>
            </w:r>
            <w:proofErr w:type="spellStart"/>
            <w:r>
              <w:t>cette</w:t>
            </w:r>
            <w:proofErr w:type="spellEnd"/>
            <w:r>
              <w:t xml:space="preserve"> </w:t>
            </w:r>
            <w:proofErr w:type="spellStart"/>
            <w:r>
              <w:t>session</w:t>
            </w:r>
            <w:proofErr w:type="spellEnd"/>
            <w:r>
              <w:t xml:space="preserve">, les </w:t>
            </w:r>
            <w:proofErr w:type="spellStart"/>
            <w:r>
              <w:t>délégués</w:t>
            </w:r>
            <w:proofErr w:type="spellEnd"/>
            <w:r>
              <w:t xml:space="preserve"> </w:t>
            </w:r>
            <w:proofErr w:type="spellStart"/>
            <w:r>
              <w:t>seront</w:t>
            </w:r>
            <w:proofErr w:type="spellEnd"/>
            <w:r>
              <w:t xml:space="preserve"> </w:t>
            </w:r>
            <w:proofErr w:type="spellStart"/>
            <w:r>
              <w:t>capables</w:t>
            </w:r>
            <w:proofErr w:type="spellEnd"/>
            <w:r>
              <w:t xml:space="preserve"> de:</w:t>
            </w:r>
          </w:p>
          <w:p w14:paraId="2E369D48" w14:textId="77777777" w:rsidR="006C75E4" w:rsidRDefault="006C75E4" w:rsidP="006C75E4">
            <w:pPr>
              <w:pStyle w:val="bul1"/>
              <w:ind w:left="851" w:hanging="260"/>
            </w:pPr>
            <w:proofErr w:type="spellStart"/>
            <w:r>
              <w:t>Discuter</w:t>
            </w:r>
            <w:proofErr w:type="spellEnd"/>
            <w:r>
              <w:t xml:space="preserve"> des </w:t>
            </w:r>
            <w:proofErr w:type="spellStart"/>
            <w:r>
              <w:t>différents</w:t>
            </w:r>
            <w:proofErr w:type="spellEnd"/>
            <w:r>
              <w:t xml:space="preserve"> </w:t>
            </w:r>
            <w:proofErr w:type="spellStart"/>
            <w:r>
              <w:t>types</w:t>
            </w:r>
            <w:proofErr w:type="spellEnd"/>
            <w:r>
              <w:t xml:space="preserve"> de </w:t>
            </w:r>
            <w:proofErr w:type="spellStart"/>
            <w:r>
              <w:t>preuves</w:t>
            </w:r>
            <w:proofErr w:type="spellEnd"/>
            <w:r>
              <w:t xml:space="preserve"> </w:t>
            </w:r>
            <w:proofErr w:type="spellStart"/>
            <w:r>
              <w:t>électroniques</w:t>
            </w:r>
            <w:proofErr w:type="spellEnd"/>
          </w:p>
          <w:p w14:paraId="003C99E5" w14:textId="77777777" w:rsidR="006C75E4" w:rsidRDefault="006C75E4" w:rsidP="006C75E4">
            <w:pPr>
              <w:pStyle w:val="bul1"/>
              <w:ind w:left="851" w:hanging="260"/>
            </w:pPr>
            <w:proofErr w:type="spellStart"/>
            <w:r>
              <w:t>Résumer</w:t>
            </w:r>
            <w:proofErr w:type="spellEnd"/>
            <w:r>
              <w:t xml:space="preserve"> les </w:t>
            </w:r>
            <w:proofErr w:type="spellStart"/>
            <w:r>
              <w:t>points</w:t>
            </w:r>
            <w:proofErr w:type="spellEnd"/>
            <w:r>
              <w:t xml:space="preserve"> </w:t>
            </w:r>
            <w:proofErr w:type="spellStart"/>
            <w:r>
              <w:t>clés</w:t>
            </w:r>
            <w:proofErr w:type="spellEnd"/>
            <w:r>
              <w:t xml:space="preserve"> du Guide de la </w:t>
            </w:r>
            <w:proofErr w:type="spellStart"/>
            <w:r>
              <w:t>preuve</w:t>
            </w:r>
            <w:proofErr w:type="spellEnd"/>
            <w:r>
              <w:t xml:space="preserve"> </w:t>
            </w:r>
            <w:proofErr w:type="spellStart"/>
            <w:r>
              <w:t>électronique</w:t>
            </w:r>
            <w:proofErr w:type="spellEnd"/>
            <w:r>
              <w:t xml:space="preserve"> du Conseil de </w:t>
            </w:r>
            <w:proofErr w:type="spellStart"/>
            <w:r>
              <w:t>l'Europe</w:t>
            </w:r>
            <w:proofErr w:type="spellEnd"/>
            <w:r>
              <w:t xml:space="preserve">, en </w:t>
            </w:r>
            <w:proofErr w:type="spellStart"/>
            <w:r>
              <w:t>particulier</w:t>
            </w:r>
            <w:proofErr w:type="spellEnd"/>
            <w:r>
              <w:t xml:space="preserve"> les </w:t>
            </w:r>
            <w:proofErr w:type="spellStart"/>
            <w:r>
              <w:t>principes</w:t>
            </w:r>
            <w:proofErr w:type="spellEnd"/>
            <w:r>
              <w:t xml:space="preserve"> de </w:t>
            </w:r>
            <w:proofErr w:type="spellStart"/>
            <w:r>
              <w:t>saisie</w:t>
            </w:r>
            <w:proofErr w:type="spellEnd"/>
            <w:r>
              <w:t xml:space="preserve"> et de </w:t>
            </w:r>
            <w:proofErr w:type="spellStart"/>
            <w:r>
              <w:t>traitement</w:t>
            </w:r>
            <w:proofErr w:type="spellEnd"/>
            <w:r>
              <w:t>.</w:t>
            </w:r>
          </w:p>
          <w:p w14:paraId="2FE8854A" w14:textId="77777777" w:rsidR="006C75E4" w:rsidRDefault="006C75E4" w:rsidP="006C75E4">
            <w:pPr>
              <w:pStyle w:val="bul1"/>
              <w:ind w:left="851" w:hanging="260"/>
            </w:pPr>
            <w:r>
              <w:t xml:space="preserve">Identifier les </w:t>
            </w:r>
            <w:proofErr w:type="spellStart"/>
            <w:r>
              <w:t>différents</w:t>
            </w:r>
            <w:proofErr w:type="spellEnd"/>
            <w:r>
              <w:t xml:space="preserve"> </w:t>
            </w:r>
            <w:proofErr w:type="spellStart"/>
            <w:r>
              <w:t>défis</w:t>
            </w:r>
            <w:proofErr w:type="spellEnd"/>
            <w:r>
              <w:t xml:space="preserve"> de la </w:t>
            </w:r>
            <w:proofErr w:type="spellStart"/>
            <w:r>
              <w:t>criminalistique</w:t>
            </w:r>
            <w:proofErr w:type="spellEnd"/>
            <w:r>
              <w:t xml:space="preserve"> des "</w:t>
            </w:r>
            <w:proofErr w:type="spellStart"/>
            <w:r>
              <w:t>boîtes</w:t>
            </w:r>
            <w:proofErr w:type="spellEnd"/>
            <w:r>
              <w:t xml:space="preserve"> mortes" et des "</w:t>
            </w:r>
            <w:proofErr w:type="spellStart"/>
            <w:r>
              <w:t>données</w:t>
            </w:r>
            <w:proofErr w:type="spellEnd"/>
            <w:r>
              <w:t xml:space="preserve"> </w:t>
            </w:r>
            <w:proofErr w:type="spellStart"/>
            <w:r>
              <w:t>vivantes</w:t>
            </w:r>
            <w:proofErr w:type="spellEnd"/>
            <w:r>
              <w:t xml:space="preserve">" </w:t>
            </w:r>
            <w:proofErr w:type="spellStart"/>
            <w:r>
              <w:t>ainsi</w:t>
            </w:r>
            <w:proofErr w:type="spellEnd"/>
            <w:r>
              <w:t xml:space="preserve"> </w:t>
            </w:r>
            <w:proofErr w:type="spellStart"/>
            <w:r>
              <w:t>que</w:t>
            </w:r>
            <w:proofErr w:type="spellEnd"/>
            <w:r>
              <w:t xml:space="preserve"> des "</w:t>
            </w:r>
            <w:proofErr w:type="spellStart"/>
            <w:r>
              <w:t>données</w:t>
            </w:r>
            <w:proofErr w:type="spellEnd"/>
            <w:r>
              <w:t xml:space="preserve"> en </w:t>
            </w:r>
            <w:proofErr w:type="spellStart"/>
            <w:r>
              <w:t>nuage</w:t>
            </w:r>
            <w:proofErr w:type="spellEnd"/>
            <w:r>
              <w:t>".</w:t>
            </w:r>
          </w:p>
          <w:p w14:paraId="064E29FA" w14:textId="77777777" w:rsidR="006C75E4" w:rsidRDefault="006C75E4" w:rsidP="006C75E4">
            <w:pPr>
              <w:pStyle w:val="bul1"/>
              <w:ind w:left="851" w:hanging="260"/>
            </w:pPr>
            <w:proofErr w:type="spellStart"/>
            <w:r>
              <w:t>Discuter</w:t>
            </w:r>
            <w:proofErr w:type="spellEnd"/>
            <w:r>
              <w:t xml:space="preserve"> de </w:t>
            </w:r>
            <w:proofErr w:type="spellStart"/>
            <w:r>
              <w:t>l'admissibilité</w:t>
            </w:r>
            <w:proofErr w:type="spellEnd"/>
            <w:r>
              <w:t xml:space="preserve"> des </w:t>
            </w:r>
            <w:proofErr w:type="spellStart"/>
            <w:r>
              <w:t>preuves</w:t>
            </w:r>
            <w:proofErr w:type="spellEnd"/>
            <w:r>
              <w:t xml:space="preserve"> </w:t>
            </w:r>
            <w:proofErr w:type="spellStart"/>
            <w:r>
              <w:t>électroniques</w:t>
            </w:r>
            <w:proofErr w:type="spellEnd"/>
          </w:p>
          <w:p w14:paraId="7FACFF42" w14:textId="77777777" w:rsidR="006C75E4" w:rsidRDefault="006C75E4" w:rsidP="006C75E4">
            <w:pPr>
              <w:pStyle w:val="bul1"/>
              <w:ind w:left="851" w:hanging="260"/>
            </w:pPr>
            <w:proofErr w:type="spellStart"/>
            <w:r>
              <w:t>Comparer</w:t>
            </w:r>
            <w:proofErr w:type="spellEnd"/>
            <w:r>
              <w:t xml:space="preserve"> la "</w:t>
            </w:r>
            <w:proofErr w:type="spellStart"/>
            <w:r>
              <w:t>criminalistique</w:t>
            </w:r>
            <w:proofErr w:type="spellEnd"/>
            <w:r>
              <w:t xml:space="preserve"> </w:t>
            </w:r>
            <w:proofErr w:type="spellStart"/>
            <w:r>
              <w:t>numérique</w:t>
            </w:r>
            <w:proofErr w:type="spellEnd"/>
            <w:r>
              <w:t xml:space="preserve">" à la </w:t>
            </w:r>
            <w:proofErr w:type="spellStart"/>
            <w:r>
              <w:t>criminalistique</w:t>
            </w:r>
            <w:proofErr w:type="spellEnd"/>
            <w:r>
              <w:t xml:space="preserve"> </w:t>
            </w:r>
            <w:proofErr w:type="spellStart"/>
            <w:r>
              <w:t>traditionnelle</w:t>
            </w:r>
            <w:proofErr w:type="spellEnd"/>
            <w:r>
              <w:t>.</w:t>
            </w:r>
          </w:p>
          <w:p w14:paraId="23EADE0B" w14:textId="545D136E" w:rsidR="006C75E4" w:rsidRDefault="006C75E4" w:rsidP="006C75E4">
            <w:pPr>
              <w:pStyle w:val="bul1"/>
              <w:ind w:hanging="129"/>
            </w:pPr>
            <w:r>
              <w:t xml:space="preserve">  Identifier les </w:t>
            </w:r>
            <w:proofErr w:type="spellStart"/>
            <w:r>
              <w:t>quatre</w:t>
            </w:r>
            <w:proofErr w:type="spellEnd"/>
            <w:r>
              <w:t xml:space="preserve"> </w:t>
            </w:r>
            <w:proofErr w:type="spellStart"/>
            <w:r>
              <w:t>étapes</w:t>
            </w:r>
            <w:proofErr w:type="spellEnd"/>
            <w:r>
              <w:t xml:space="preserve"> </w:t>
            </w:r>
            <w:proofErr w:type="spellStart"/>
            <w:r>
              <w:t>clés</w:t>
            </w:r>
            <w:proofErr w:type="spellEnd"/>
            <w:r>
              <w:t xml:space="preserve"> </w:t>
            </w:r>
            <w:proofErr w:type="spellStart"/>
            <w:r>
              <w:t>d'une</w:t>
            </w:r>
            <w:proofErr w:type="spellEnd"/>
            <w:r>
              <w:t xml:space="preserve"> </w:t>
            </w:r>
            <w:proofErr w:type="spellStart"/>
            <w:r>
              <w:t>expertise</w:t>
            </w:r>
            <w:proofErr w:type="spellEnd"/>
            <w:r>
              <w:t xml:space="preserve"> </w:t>
            </w:r>
            <w:proofErr w:type="spellStart"/>
            <w:r>
              <w:t>numérique</w:t>
            </w:r>
            <w:proofErr w:type="spellEnd"/>
            <w:r>
              <w:t>.</w:t>
            </w:r>
          </w:p>
          <w:p w14:paraId="61ABEAC5" w14:textId="51B531B8" w:rsidR="001E7389" w:rsidRPr="001E7389" w:rsidRDefault="001E7389" w:rsidP="001E7389">
            <w:pPr>
              <w:pStyle w:val="bul1"/>
              <w:numPr>
                <w:ilvl w:val="0"/>
                <w:numId w:val="0"/>
              </w:numPr>
            </w:pPr>
          </w:p>
        </w:tc>
      </w:tr>
      <w:tr w:rsidR="005703B7" w:rsidRPr="007709C8" w14:paraId="03110757" w14:textId="77777777" w:rsidTr="008066F5">
        <w:trPr>
          <w:trHeight w:val="2826"/>
        </w:trPr>
        <w:tc>
          <w:tcPr>
            <w:tcW w:w="9010" w:type="dxa"/>
            <w:gridSpan w:val="3"/>
            <w:tcBorders>
              <w:bottom w:val="single" w:sz="4" w:space="0" w:color="auto"/>
            </w:tcBorders>
            <w:vAlign w:val="center"/>
          </w:tcPr>
          <w:p w14:paraId="5EE867A7" w14:textId="77777777" w:rsidR="006C75E4" w:rsidRPr="007709C8" w:rsidRDefault="006C75E4" w:rsidP="006C75E4">
            <w:pPr>
              <w:spacing w:before="120" w:after="120" w:line="280" w:lineRule="exact"/>
              <w:jc w:val="both"/>
              <w:rPr>
                <w:rFonts w:ascii="Verdana" w:hAnsi="Verdana"/>
                <w:b/>
                <w:bCs/>
                <w:sz w:val="22"/>
                <w:szCs w:val="22"/>
                <w:lang w:val="fr-FR"/>
              </w:rPr>
            </w:pPr>
            <w:r w:rsidRPr="007709C8">
              <w:rPr>
                <w:rFonts w:ascii="Verdana" w:hAnsi="Verdana"/>
                <w:b/>
                <w:bCs/>
                <w:sz w:val="22"/>
                <w:szCs w:val="22"/>
                <w:lang w:val="fr-FR"/>
              </w:rPr>
              <w:lastRenderedPageBreak/>
              <w:t>Orientations pour les formateurs</w:t>
            </w:r>
          </w:p>
          <w:p w14:paraId="14DD5A7F" w14:textId="77777777" w:rsidR="006C75E4" w:rsidRPr="008066F5" w:rsidRDefault="006C75E4" w:rsidP="006C75E4">
            <w:pPr>
              <w:spacing w:before="120" w:after="120" w:line="280" w:lineRule="exact"/>
              <w:jc w:val="both"/>
              <w:rPr>
                <w:rFonts w:ascii="Verdana" w:hAnsi="Verdana"/>
                <w:sz w:val="18"/>
                <w:szCs w:val="18"/>
                <w:lang w:val="fr-FR"/>
              </w:rPr>
            </w:pPr>
            <w:r w:rsidRPr="006C75E4">
              <w:rPr>
                <w:rFonts w:ascii="Verdana" w:hAnsi="Verdana"/>
                <w:sz w:val="18"/>
                <w:szCs w:val="18"/>
                <w:lang w:val="fr-FR"/>
              </w:rPr>
              <w:t xml:space="preserve">La session sur les preuves électroniques a été réduite dans cette version du cours et une lecture préalable a été produite pour que les délégués l'étudient avant le cours. Le formateur peut envisager un bref contrôle des connaissances au début de la session pour vérifier que la lecture préalable a été utilisée.  Cela peut prendre la forme d'un quiz. Le contenu de la lecture préalable a permis aux délégués de se familiariser avec différentes formes de dispositifs pouvant contenir des preuves électroniques. Le formateur peut également envisager de se procurer une variété d'appareils électroniques, dont certains peuvent contenir des preuves électroniques. Faire circuler ces appareils au début de la session est un autre moyen d'évaluer dans quelle mesure les délégués ont assimilé les informations contenues dans la lecture préalable. </w:t>
            </w:r>
            <w:r w:rsidRPr="008066F5">
              <w:rPr>
                <w:rFonts w:ascii="Verdana" w:hAnsi="Verdana"/>
                <w:sz w:val="18"/>
                <w:szCs w:val="18"/>
                <w:lang w:val="fr-FR"/>
              </w:rPr>
              <w:t>Comme les autres sessions, celle-ci fournit des informations supplémentaires dans les notes des diapositives pour aider le formateur.</w:t>
            </w:r>
          </w:p>
          <w:p w14:paraId="0AE57209" w14:textId="77777777" w:rsidR="006C75E4" w:rsidRPr="008066F5" w:rsidRDefault="006C75E4" w:rsidP="006C75E4">
            <w:pPr>
              <w:spacing w:before="120" w:after="120" w:line="280" w:lineRule="exact"/>
              <w:jc w:val="both"/>
              <w:rPr>
                <w:rFonts w:ascii="Verdana" w:hAnsi="Verdana"/>
                <w:sz w:val="18"/>
                <w:szCs w:val="18"/>
                <w:lang w:val="fr-FR"/>
              </w:rPr>
            </w:pPr>
            <w:r w:rsidRPr="008066F5">
              <w:rPr>
                <w:rFonts w:ascii="Verdana" w:hAnsi="Verdana"/>
                <w:sz w:val="18"/>
                <w:szCs w:val="18"/>
                <w:lang w:val="fr-FR"/>
              </w:rPr>
              <w:t>Les diapositives qui constituent la lecture préalable ont été laissées dans le jeu de diapositives pour le formateur, qui peut les utiliser pour renforcer l'information ou les afficher en répondant aux questions.  Elles ne sont pas destinées à être utilisées comme méthode d'enseignement pendant la leçon.</w:t>
            </w:r>
          </w:p>
          <w:p w14:paraId="5EFF4BEF" w14:textId="5DE1C16A" w:rsidR="006C75E4" w:rsidRPr="008066F5" w:rsidRDefault="006C75E4" w:rsidP="006C75E4">
            <w:pPr>
              <w:spacing w:before="120" w:after="120" w:line="280" w:lineRule="exact"/>
              <w:jc w:val="both"/>
              <w:rPr>
                <w:rFonts w:ascii="Verdana" w:hAnsi="Verdana"/>
                <w:sz w:val="18"/>
                <w:szCs w:val="18"/>
                <w:lang w:val="fr-FR"/>
              </w:rPr>
            </w:pPr>
            <w:r w:rsidRPr="008066F5">
              <w:rPr>
                <w:rFonts w:ascii="Verdana" w:hAnsi="Verdana"/>
                <w:sz w:val="18"/>
                <w:szCs w:val="18"/>
                <w:lang w:val="fr-FR"/>
              </w:rPr>
              <w:t xml:space="preserve">La leçon contient des informations sur la recherche et la saisie de preuves électroniques. Elles vont de la préparation et de la planification à l'équipement à emporter, en passant par la saisie proprement dite et les considérations associées.   En fonction du système juridique des pays des délégués, ces informations seront plus ou moins intéressantes. Dans les juridictions de </w:t>
            </w:r>
            <w:r w:rsidR="007709C8">
              <w:rPr>
                <w:rFonts w:ascii="Verdana" w:hAnsi="Verdana"/>
                <w:sz w:val="18"/>
                <w:szCs w:val="18"/>
                <w:lang w:val="fr-FR"/>
              </w:rPr>
              <w:t xml:space="preserve">droit </w:t>
            </w:r>
            <w:r w:rsidRPr="008066F5">
              <w:rPr>
                <w:rFonts w:ascii="Verdana" w:hAnsi="Verdana"/>
                <w:sz w:val="18"/>
                <w:szCs w:val="18"/>
                <w:lang w:val="fr-FR"/>
              </w:rPr>
              <w:t>comm</w:t>
            </w:r>
            <w:r w:rsidR="007709C8">
              <w:rPr>
                <w:rFonts w:ascii="Verdana" w:hAnsi="Verdana"/>
                <w:sz w:val="18"/>
                <w:szCs w:val="18"/>
                <w:lang w:val="fr-FR"/>
              </w:rPr>
              <w:t>u</w:t>
            </w:r>
            <w:r w:rsidRPr="008066F5">
              <w:rPr>
                <w:rFonts w:ascii="Verdana" w:hAnsi="Verdana"/>
                <w:sz w:val="18"/>
                <w:szCs w:val="18"/>
                <w:lang w:val="fr-FR"/>
              </w:rPr>
              <w:t>n, les juges n'ont aucun rôle dans l'enquête ou dans les activités associées telles que la perquisition et la saisie. Ils devront cependant comprendre les preuves lorsqu'elles sont produites devant eux, de sorte qu'un aperçu des questions peut être approprié.  Dans d'autres juridictions, le juge peut avoir un rôle dans l'enquête, et les procureurs peuvent être légalement responsables de l'enquête. Dans ces cas, la question des perquisitions et des saisies. Il incombe à chaque formateur de déterminer le rôle des délégués et d'adapter le matériel de formation en conséquence.  Le formateur doit tenir compte du temps global dont il dispose lorsqu'il décide de l'importance à accorder au matériel, en se souvenant du contexte global des objectifs pédagogiques, qui constituent le fondement de la leçon.</w:t>
            </w:r>
          </w:p>
        </w:tc>
      </w:tr>
      <w:tr w:rsidR="005A4E47" w:rsidRPr="007709C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1DAE383" w:rsidR="008066F5" w:rsidRPr="007709C8" w:rsidRDefault="008066F5" w:rsidP="00CB3026">
            <w:pPr>
              <w:rPr>
                <w:rFonts w:ascii="Verdana" w:hAnsi="Verdana"/>
                <w:b/>
                <w:sz w:val="28"/>
                <w:szCs w:val="28"/>
                <w:lang w:val="fr-FR"/>
              </w:rPr>
            </w:pPr>
            <w:r w:rsidRPr="007709C8">
              <w:rPr>
                <w:rFonts w:ascii="Verdana" w:hAnsi="Verdana"/>
                <w:b/>
                <w:sz w:val="28"/>
                <w:szCs w:val="28"/>
                <w:lang w:val="fr-FR"/>
              </w:rPr>
              <w:t>Contenu de la leçon</w:t>
            </w:r>
          </w:p>
        </w:tc>
      </w:tr>
      <w:tr w:rsidR="00F1574D" w:rsidRPr="00D82C18" w14:paraId="57CC7AA4" w14:textId="77777777" w:rsidTr="008066F5">
        <w:trPr>
          <w:trHeight w:val="629"/>
        </w:trPr>
        <w:tc>
          <w:tcPr>
            <w:tcW w:w="1838" w:type="dxa"/>
            <w:shd w:val="clear" w:color="auto" w:fill="D9E2F3" w:themeFill="accent1" w:themeFillTint="33"/>
            <w:vAlign w:val="center"/>
          </w:tcPr>
          <w:p w14:paraId="4538C338" w14:textId="46BC0F83" w:rsidR="008066F5" w:rsidRPr="007709C8" w:rsidRDefault="008066F5" w:rsidP="007709C8">
            <w:pPr>
              <w:rPr>
                <w:rFonts w:ascii="Verdana" w:hAnsi="Verdana"/>
                <w:b/>
                <w:sz w:val="22"/>
                <w:szCs w:val="22"/>
                <w:lang w:val="fr-FR"/>
              </w:rPr>
            </w:pPr>
            <w:r w:rsidRPr="007709C8">
              <w:rPr>
                <w:rFonts w:ascii="Verdana" w:hAnsi="Verdana"/>
                <w:b/>
                <w:sz w:val="22"/>
                <w:szCs w:val="22"/>
                <w:lang w:val="fr-FR"/>
              </w:rPr>
              <w:t>Numéros de diapositives</w:t>
            </w:r>
          </w:p>
        </w:tc>
        <w:tc>
          <w:tcPr>
            <w:tcW w:w="7172" w:type="dxa"/>
            <w:gridSpan w:val="2"/>
            <w:shd w:val="clear" w:color="auto" w:fill="D9E2F3" w:themeFill="accent1" w:themeFillTint="33"/>
            <w:vAlign w:val="center"/>
          </w:tcPr>
          <w:p w14:paraId="2DA616FC" w14:textId="410A01C7" w:rsidR="008066F5" w:rsidRPr="00E13BE7" w:rsidRDefault="008066F5">
            <w:pPr>
              <w:rPr>
                <w:rFonts w:ascii="Verdana" w:hAnsi="Verdana"/>
                <w:b/>
                <w:sz w:val="22"/>
                <w:szCs w:val="22"/>
              </w:rPr>
            </w:pPr>
            <w:proofErr w:type="spellStart"/>
            <w:r>
              <w:rPr>
                <w:rFonts w:ascii="Verdana" w:hAnsi="Verdana"/>
                <w:b/>
                <w:sz w:val="22"/>
                <w:szCs w:val="22"/>
              </w:rPr>
              <w:t>Contenu</w:t>
            </w:r>
            <w:proofErr w:type="spellEnd"/>
          </w:p>
        </w:tc>
      </w:tr>
      <w:tr w:rsidR="00F1574D" w:rsidRPr="007709C8" w14:paraId="11A12D7E" w14:textId="77777777" w:rsidTr="008066F5">
        <w:trPr>
          <w:trHeight w:val="3455"/>
        </w:trPr>
        <w:tc>
          <w:tcPr>
            <w:tcW w:w="1838" w:type="dxa"/>
            <w:vAlign w:val="center"/>
          </w:tcPr>
          <w:p w14:paraId="0F48A1EC" w14:textId="77777777" w:rsidR="008066F5" w:rsidRPr="007709C8" w:rsidRDefault="008066F5" w:rsidP="007709C8">
            <w:pPr>
              <w:spacing w:before="120" w:after="120" w:line="280" w:lineRule="exact"/>
              <w:jc w:val="center"/>
              <w:rPr>
                <w:rFonts w:ascii="Verdana" w:hAnsi="Verdana"/>
                <w:sz w:val="18"/>
                <w:szCs w:val="18"/>
                <w:lang w:val="fr-FR"/>
              </w:rPr>
            </w:pPr>
            <w:r w:rsidRPr="007709C8">
              <w:rPr>
                <w:rFonts w:ascii="Verdana" w:hAnsi="Verdana"/>
                <w:sz w:val="18"/>
                <w:szCs w:val="18"/>
                <w:lang w:val="fr-FR"/>
              </w:rPr>
              <w:t>1 à 4</w:t>
            </w:r>
          </w:p>
          <w:p w14:paraId="5A89CF27" w14:textId="70788EF5" w:rsidR="008066F5" w:rsidRPr="007709C8" w:rsidRDefault="008066F5" w:rsidP="008066F5">
            <w:pPr>
              <w:spacing w:before="120" w:after="120" w:line="280" w:lineRule="exact"/>
              <w:jc w:val="center"/>
              <w:rPr>
                <w:rFonts w:ascii="Verdana" w:hAnsi="Verdana"/>
                <w:sz w:val="18"/>
                <w:szCs w:val="18"/>
                <w:lang w:val="fr-FR"/>
              </w:rPr>
            </w:pPr>
            <w:r w:rsidRPr="007709C8">
              <w:rPr>
                <w:rFonts w:ascii="Verdana" w:hAnsi="Verdana"/>
                <w:sz w:val="18"/>
                <w:szCs w:val="18"/>
                <w:lang w:val="fr-FR"/>
              </w:rPr>
              <w:t>Diapositives obligatoires</w:t>
            </w:r>
          </w:p>
        </w:tc>
        <w:tc>
          <w:tcPr>
            <w:tcW w:w="7172" w:type="dxa"/>
            <w:gridSpan w:val="2"/>
            <w:vAlign w:val="center"/>
          </w:tcPr>
          <w:p w14:paraId="36345B59" w14:textId="5040BE5D" w:rsidR="008066F5" w:rsidRPr="008066F5" w:rsidRDefault="008066F5" w:rsidP="00314D32">
            <w:pPr>
              <w:spacing w:before="120" w:after="120" w:line="360" w:lineRule="auto"/>
              <w:jc w:val="both"/>
              <w:rPr>
                <w:rFonts w:ascii="Verdana" w:hAnsi="Verdana"/>
                <w:color w:val="000000" w:themeColor="text1"/>
                <w:sz w:val="18"/>
                <w:szCs w:val="18"/>
                <w:lang w:val="fr-FR"/>
              </w:rPr>
            </w:pPr>
            <w:r w:rsidRPr="008066F5">
              <w:rPr>
                <w:rFonts w:ascii="Verdana" w:hAnsi="Verdana"/>
                <w:color w:val="000000" w:themeColor="text1"/>
                <w:sz w:val="18"/>
                <w:szCs w:val="18"/>
                <w:lang w:val="fr-FR"/>
              </w:rPr>
              <w:t>Les premières diapositives constituent l'introduction à la session et comprennent l'ordre du jour et les objectifs de la session.  Le formateur doit s'assurer que celles-ci sont modifiées lorsqu'il a été décidé d'exclure des séries de diapositives.</w:t>
            </w:r>
          </w:p>
        </w:tc>
      </w:tr>
      <w:tr w:rsidR="00F1574D" w:rsidRPr="007709C8" w14:paraId="65F07CB5" w14:textId="77777777" w:rsidTr="008066F5">
        <w:trPr>
          <w:trHeight w:val="1880"/>
        </w:trPr>
        <w:tc>
          <w:tcPr>
            <w:tcW w:w="1838" w:type="dxa"/>
            <w:vAlign w:val="center"/>
          </w:tcPr>
          <w:p w14:paraId="7F75E9A0" w14:textId="77777777" w:rsidR="008066F5" w:rsidRPr="007709C8" w:rsidRDefault="008066F5" w:rsidP="008066F5">
            <w:pPr>
              <w:spacing w:before="120" w:after="120" w:line="280" w:lineRule="exact"/>
              <w:jc w:val="center"/>
              <w:rPr>
                <w:rFonts w:ascii="Verdana" w:hAnsi="Verdana"/>
                <w:sz w:val="18"/>
                <w:szCs w:val="18"/>
                <w:lang w:val="fr-FR"/>
              </w:rPr>
            </w:pPr>
          </w:p>
          <w:p w14:paraId="753B4264" w14:textId="21095E5D" w:rsidR="008066F5" w:rsidRPr="007709C8" w:rsidRDefault="008066F5" w:rsidP="008066F5">
            <w:pPr>
              <w:spacing w:before="120" w:after="120" w:line="280" w:lineRule="exact"/>
              <w:jc w:val="center"/>
              <w:rPr>
                <w:rFonts w:ascii="Verdana" w:hAnsi="Verdana"/>
                <w:sz w:val="18"/>
                <w:szCs w:val="18"/>
                <w:lang w:val="fr-FR"/>
              </w:rPr>
            </w:pPr>
            <w:r w:rsidRPr="007709C8">
              <w:rPr>
                <w:rFonts w:ascii="Verdana" w:hAnsi="Verdana"/>
                <w:sz w:val="18"/>
                <w:szCs w:val="18"/>
                <w:lang w:val="fr-FR"/>
              </w:rPr>
              <w:t>5 à 17 ans</w:t>
            </w:r>
          </w:p>
          <w:p w14:paraId="6F5AEB2D" w14:textId="7D6EDC61" w:rsidR="008066F5" w:rsidRPr="007709C8" w:rsidRDefault="008066F5" w:rsidP="008066F5">
            <w:pPr>
              <w:spacing w:before="120" w:after="120" w:line="280" w:lineRule="exact"/>
              <w:jc w:val="center"/>
              <w:rPr>
                <w:rFonts w:ascii="Verdana" w:hAnsi="Verdana"/>
                <w:sz w:val="18"/>
                <w:szCs w:val="18"/>
                <w:lang w:val="fr-FR"/>
              </w:rPr>
            </w:pPr>
            <w:r w:rsidRPr="007709C8">
              <w:rPr>
                <w:rFonts w:ascii="Verdana" w:hAnsi="Verdana"/>
                <w:sz w:val="18"/>
                <w:szCs w:val="18"/>
                <w:lang w:val="fr-FR"/>
              </w:rPr>
              <w:t>Diapositives importantes</w:t>
            </w:r>
          </w:p>
        </w:tc>
        <w:tc>
          <w:tcPr>
            <w:tcW w:w="7172" w:type="dxa"/>
            <w:gridSpan w:val="2"/>
            <w:vAlign w:val="center"/>
          </w:tcPr>
          <w:p w14:paraId="4BE36343" w14:textId="77777777" w:rsidR="008066F5" w:rsidRPr="008066F5" w:rsidRDefault="008066F5" w:rsidP="008066F5">
            <w:pPr>
              <w:spacing w:line="360" w:lineRule="auto"/>
              <w:jc w:val="both"/>
              <w:rPr>
                <w:rFonts w:ascii="Verdana" w:hAnsi="Verdana"/>
                <w:sz w:val="18"/>
                <w:szCs w:val="18"/>
                <w:lang w:val="fr-FR"/>
              </w:rPr>
            </w:pPr>
            <w:r w:rsidRPr="008066F5">
              <w:rPr>
                <w:rFonts w:ascii="Verdana" w:hAnsi="Verdana"/>
                <w:sz w:val="18"/>
                <w:szCs w:val="18"/>
                <w:lang w:val="fr-FR"/>
              </w:rPr>
              <w:t>Ces diapositives présentent les définitions de la preuve et de la preuve électronique. Dans une certaine mesure, il s'agit également d'un rappel des informations contenues dans les documents de pré-lecture. Elles traitent également de certaines caractéristiques de base des données - et des raisons pour lesquelles elles sont si différentes à traiter.</w:t>
            </w:r>
          </w:p>
          <w:p w14:paraId="649FEA68" w14:textId="6D63F002" w:rsidR="008066F5" w:rsidRPr="008066F5" w:rsidRDefault="008066F5" w:rsidP="008066F5">
            <w:pPr>
              <w:spacing w:line="360" w:lineRule="auto"/>
              <w:jc w:val="both"/>
              <w:rPr>
                <w:lang w:val="fr-FR"/>
              </w:rPr>
            </w:pPr>
            <w:r w:rsidRPr="008066F5">
              <w:rPr>
                <w:rFonts w:ascii="Verdana" w:hAnsi="Verdana"/>
                <w:sz w:val="18"/>
                <w:szCs w:val="18"/>
                <w:lang w:val="fr-FR"/>
              </w:rPr>
              <w:t>La diapositive 6 doit permettre de lancer la discussion avec les délégués. Le formateur doit entamer une discussion avec le groupe en identifiant les types de preuves électroniques et en encourageant les participants à donner des détails sur leur connaissance de la question.  Le formateur doit ensuite dresser la liste des types mis en évidence sur un tableau à feuilles mobiles ou un tableau blanc.  Le formateur doit compléter la liste si l'auditoire ne souligne pas les types de preuves.  La liste doit inclure les deux types de preuves, par exemple la boîte morte, les données en direct, la mémoire, l'Internet, ainsi que les sources de preuves telles que celles traitées dans la section technologie du cours.</w:t>
            </w:r>
          </w:p>
        </w:tc>
      </w:tr>
      <w:tr w:rsidR="00F1574D" w:rsidRPr="007709C8" w14:paraId="15587DD6" w14:textId="77777777" w:rsidTr="008066F5">
        <w:trPr>
          <w:trHeight w:val="1916"/>
        </w:trPr>
        <w:tc>
          <w:tcPr>
            <w:tcW w:w="1838" w:type="dxa"/>
            <w:vAlign w:val="center"/>
          </w:tcPr>
          <w:p w14:paraId="11A506E6" w14:textId="77777777" w:rsidR="00241B73" w:rsidRPr="007709C8" w:rsidRDefault="00241B73" w:rsidP="007709C8">
            <w:pPr>
              <w:spacing w:before="120" w:after="120" w:line="280" w:lineRule="exact"/>
              <w:rPr>
                <w:rFonts w:ascii="Verdana" w:hAnsi="Verdana"/>
                <w:sz w:val="18"/>
                <w:szCs w:val="18"/>
                <w:lang w:val="fr-FR"/>
              </w:rPr>
            </w:pPr>
          </w:p>
          <w:p w14:paraId="1C66B477" w14:textId="6AEDB6CB" w:rsidR="00241B73" w:rsidRPr="007709C8" w:rsidRDefault="00241B73" w:rsidP="00241B73">
            <w:pPr>
              <w:spacing w:before="120" w:after="120" w:line="280" w:lineRule="exact"/>
              <w:jc w:val="center"/>
              <w:rPr>
                <w:rFonts w:ascii="Verdana" w:hAnsi="Verdana"/>
                <w:sz w:val="18"/>
                <w:szCs w:val="18"/>
                <w:lang w:val="fr-FR"/>
              </w:rPr>
            </w:pPr>
            <w:r w:rsidRPr="007709C8">
              <w:rPr>
                <w:rFonts w:ascii="Verdana" w:hAnsi="Verdana"/>
                <w:sz w:val="18"/>
                <w:szCs w:val="18"/>
                <w:lang w:val="fr-FR"/>
              </w:rPr>
              <w:t>18 à 27</w:t>
            </w:r>
          </w:p>
          <w:p w14:paraId="65C32028" w14:textId="2B25F9D2" w:rsidR="00241B73" w:rsidRPr="007709C8" w:rsidRDefault="00241B73" w:rsidP="00241B73">
            <w:pPr>
              <w:spacing w:before="120" w:after="120" w:line="280" w:lineRule="exact"/>
              <w:jc w:val="center"/>
              <w:rPr>
                <w:rFonts w:ascii="Verdana" w:hAnsi="Verdana"/>
                <w:sz w:val="18"/>
                <w:szCs w:val="18"/>
                <w:lang w:val="fr-FR"/>
              </w:rPr>
            </w:pPr>
            <w:r w:rsidRPr="007709C8">
              <w:rPr>
                <w:rFonts w:ascii="Verdana" w:hAnsi="Verdana"/>
                <w:sz w:val="18"/>
                <w:szCs w:val="18"/>
                <w:lang w:val="fr-FR"/>
              </w:rPr>
              <w:t>Diapositives obligatoires</w:t>
            </w:r>
          </w:p>
        </w:tc>
        <w:tc>
          <w:tcPr>
            <w:tcW w:w="7172" w:type="dxa"/>
            <w:gridSpan w:val="2"/>
            <w:vAlign w:val="center"/>
          </w:tcPr>
          <w:p w14:paraId="3ED3F4F1" w14:textId="77777777"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Les diapositives des sections suivantes traitent du Guide de la preuve électronique du CE, qui constitue un aspect important de la formation.</w:t>
            </w:r>
          </w:p>
          <w:p w14:paraId="64688582" w14:textId="77777777"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Ces diapositives examinent le contexte de la preuve électronique et la raison pour laquelle le guide a été créé. Elles examinent également à qui s'adresse le guide et qui doit l'utiliser - et comment.</w:t>
            </w:r>
          </w:p>
          <w:p w14:paraId="18D6C2C4" w14:textId="77777777" w:rsidR="00241B73" w:rsidRPr="00241B73" w:rsidRDefault="00241B73" w:rsidP="00241B73">
            <w:pPr>
              <w:spacing w:line="360" w:lineRule="auto"/>
              <w:jc w:val="both"/>
              <w:rPr>
                <w:rFonts w:ascii="Verdana" w:hAnsi="Verdana"/>
                <w:sz w:val="18"/>
                <w:szCs w:val="18"/>
                <w:lang w:val="fr-FR"/>
              </w:rPr>
            </w:pPr>
          </w:p>
          <w:p w14:paraId="09B58FC0" w14:textId="05FEE959"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Elles présentent les principes de la preuve électronique.</w:t>
            </w:r>
          </w:p>
        </w:tc>
      </w:tr>
      <w:tr w:rsidR="00F1574D" w:rsidRPr="007709C8" w14:paraId="4F010995" w14:textId="77777777" w:rsidTr="008066F5">
        <w:trPr>
          <w:trHeight w:val="791"/>
        </w:trPr>
        <w:tc>
          <w:tcPr>
            <w:tcW w:w="1838" w:type="dxa"/>
            <w:vAlign w:val="center"/>
          </w:tcPr>
          <w:p w14:paraId="4D35D463" w14:textId="77777777" w:rsidR="00241B73" w:rsidRPr="007709C8" w:rsidRDefault="00241B73" w:rsidP="007709C8">
            <w:pPr>
              <w:spacing w:before="120" w:after="120" w:line="280" w:lineRule="exact"/>
              <w:rPr>
                <w:rFonts w:ascii="Verdana" w:hAnsi="Verdana"/>
                <w:sz w:val="18"/>
                <w:szCs w:val="18"/>
                <w:lang w:val="fr-FR"/>
              </w:rPr>
            </w:pPr>
          </w:p>
          <w:p w14:paraId="61F47860" w14:textId="77777777" w:rsidR="00241B73" w:rsidRPr="007709C8" w:rsidRDefault="00241B73" w:rsidP="00241B73">
            <w:pPr>
              <w:spacing w:before="120" w:after="120" w:line="280" w:lineRule="exact"/>
              <w:jc w:val="center"/>
              <w:rPr>
                <w:rFonts w:ascii="Verdana" w:hAnsi="Verdana"/>
                <w:sz w:val="18"/>
                <w:szCs w:val="18"/>
                <w:lang w:val="fr-FR"/>
              </w:rPr>
            </w:pPr>
            <w:r w:rsidRPr="007709C8">
              <w:rPr>
                <w:rFonts w:ascii="Verdana" w:hAnsi="Verdana"/>
                <w:sz w:val="18"/>
                <w:szCs w:val="18"/>
                <w:lang w:val="fr-FR"/>
              </w:rPr>
              <w:t>28 à 34</w:t>
            </w:r>
          </w:p>
          <w:p w14:paraId="48504862" w14:textId="7ABAD3BD" w:rsidR="00241B73" w:rsidRPr="007709C8" w:rsidRDefault="00241B73" w:rsidP="00241B73">
            <w:pPr>
              <w:spacing w:before="120" w:after="120" w:line="280" w:lineRule="exact"/>
              <w:jc w:val="center"/>
              <w:rPr>
                <w:rFonts w:ascii="Verdana" w:hAnsi="Verdana"/>
                <w:sz w:val="18"/>
                <w:szCs w:val="18"/>
                <w:lang w:val="fr-FR"/>
              </w:rPr>
            </w:pPr>
            <w:r w:rsidRPr="007709C8">
              <w:rPr>
                <w:rFonts w:ascii="Verdana" w:hAnsi="Verdana"/>
                <w:sz w:val="18"/>
                <w:szCs w:val="18"/>
                <w:lang w:val="fr-FR"/>
              </w:rPr>
              <w:t>Diapositives obligatoires</w:t>
            </w:r>
          </w:p>
        </w:tc>
        <w:tc>
          <w:tcPr>
            <w:tcW w:w="7172" w:type="dxa"/>
            <w:gridSpan w:val="2"/>
            <w:vAlign w:val="center"/>
          </w:tcPr>
          <w:p w14:paraId="083C3A97" w14:textId="77777777" w:rsidR="00241B73" w:rsidRPr="00241B73" w:rsidRDefault="00241B73" w:rsidP="00241B73">
            <w:pPr>
              <w:spacing w:line="360" w:lineRule="auto"/>
              <w:rPr>
                <w:rFonts w:ascii="Verdana" w:eastAsia="Times New Roman" w:hAnsi="Verdana" w:cstheme="majorBidi"/>
                <w:iCs/>
                <w:color w:val="000000" w:themeColor="text1"/>
                <w:sz w:val="18"/>
                <w:lang w:val="fr-FR"/>
              </w:rPr>
            </w:pPr>
            <w:r w:rsidRPr="00241B73">
              <w:rPr>
                <w:rFonts w:ascii="Verdana" w:eastAsia="Times New Roman" w:hAnsi="Verdana" w:cstheme="majorBidi"/>
                <w:iCs/>
                <w:color w:val="000000" w:themeColor="text1"/>
                <w:sz w:val="18"/>
                <w:lang w:val="fr-FR"/>
              </w:rPr>
              <w:t>Ces diapositives examinent les cinq principes de la preuve électronique et permettent au formateur de les parcourir en expliquant leur objectif.</w:t>
            </w:r>
          </w:p>
          <w:p w14:paraId="4AF5B3D7" w14:textId="09A05C85" w:rsidR="00241B73" w:rsidRPr="00241B73" w:rsidRDefault="00241B73" w:rsidP="00241B73">
            <w:pPr>
              <w:spacing w:line="360" w:lineRule="auto"/>
              <w:rPr>
                <w:rFonts w:ascii="Verdana" w:eastAsia="Times New Roman" w:hAnsi="Verdana" w:cstheme="majorBidi"/>
                <w:iCs/>
                <w:color w:val="000000" w:themeColor="text1"/>
                <w:sz w:val="18"/>
                <w:lang w:val="fr-FR"/>
              </w:rPr>
            </w:pPr>
            <w:r w:rsidRPr="00241B73">
              <w:rPr>
                <w:rFonts w:ascii="Verdana" w:eastAsia="Times New Roman" w:hAnsi="Verdana" w:cstheme="majorBidi"/>
                <w:iCs/>
                <w:color w:val="000000" w:themeColor="text1"/>
                <w:sz w:val="18"/>
                <w:lang w:val="fr-FR"/>
              </w:rPr>
              <w:t>Les principes devraient susciter des discussions et des questions. Si ce n'est pas le cas, le formateur peut demander aux délégués de répondre.</w:t>
            </w:r>
          </w:p>
        </w:tc>
      </w:tr>
      <w:tr w:rsidR="00F1574D" w:rsidRPr="007709C8" w14:paraId="3C4A313A" w14:textId="77777777" w:rsidTr="008066F5">
        <w:trPr>
          <w:trHeight w:val="890"/>
        </w:trPr>
        <w:tc>
          <w:tcPr>
            <w:tcW w:w="1838" w:type="dxa"/>
            <w:vAlign w:val="center"/>
          </w:tcPr>
          <w:p w14:paraId="15D8E3AF" w14:textId="77777777" w:rsidR="00241B73" w:rsidRPr="007709C8" w:rsidRDefault="00241B73" w:rsidP="007709C8">
            <w:pPr>
              <w:spacing w:before="120" w:after="120" w:line="280" w:lineRule="exact"/>
              <w:rPr>
                <w:rFonts w:ascii="Verdana" w:hAnsi="Verdana"/>
                <w:sz w:val="18"/>
                <w:szCs w:val="18"/>
                <w:lang w:val="fr-FR"/>
              </w:rPr>
            </w:pPr>
          </w:p>
          <w:p w14:paraId="00098EC4" w14:textId="6527D3D6" w:rsidR="00241B73" w:rsidRPr="007709C8" w:rsidRDefault="00241B73" w:rsidP="00F1574D">
            <w:pPr>
              <w:spacing w:before="120" w:after="120" w:line="280" w:lineRule="exact"/>
              <w:jc w:val="center"/>
              <w:rPr>
                <w:rFonts w:ascii="Verdana" w:hAnsi="Verdana"/>
                <w:sz w:val="18"/>
                <w:szCs w:val="18"/>
                <w:lang w:val="fr-FR"/>
              </w:rPr>
            </w:pPr>
            <w:r w:rsidRPr="007709C8">
              <w:rPr>
                <w:rFonts w:ascii="Verdana" w:hAnsi="Verdana"/>
                <w:sz w:val="18"/>
                <w:szCs w:val="18"/>
                <w:lang w:val="fr-FR"/>
              </w:rPr>
              <w:t>35 à 61 Diapositives obligatoires</w:t>
            </w:r>
          </w:p>
        </w:tc>
        <w:tc>
          <w:tcPr>
            <w:tcW w:w="7172" w:type="dxa"/>
            <w:gridSpan w:val="2"/>
            <w:vAlign w:val="center"/>
          </w:tcPr>
          <w:p w14:paraId="09B693A1" w14:textId="4807B85F" w:rsidR="00241B73" w:rsidRPr="00241B73" w:rsidRDefault="00241B73" w:rsidP="00314D32">
            <w:pPr>
              <w:spacing w:after="120" w:line="360" w:lineRule="auto"/>
              <w:jc w:val="both"/>
              <w:rPr>
                <w:rFonts w:ascii="Verdana" w:hAnsi="Verdana"/>
                <w:sz w:val="18"/>
                <w:szCs w:val="18"/>
                <w:lang w:val="fr-FR"/>
              </w:rPr>
            </w:pPr>
            <w:r w:rsidRPr="00241B73">
              <w:rPr>
                <w:rFonts w:ascii="Verdana" w:hAnsi="Verdana"/>
                <w:sz w:val="18"/>
                <w:szCs w:val="18"/>
                <w:lang w:val="fr-FR"/>
              </w:rPr>
              <w:t>Ces diapositives traitent de la scène de crime électronique et de la manière dont il convient de l'aborder. Des sections sont consacrées à la préparation, au renseignement, puis à la visite proprement dite de la scène de crime - et aux mesures à prendre sur place.</w:t>
            </w:r>
          </w:p>
        </w:tc>
      </w:tr>
      <w:tr w:rsidR="00F1574D" w:rsidRPr="007709C8" w14:paraId="0425CAAD" w14:textId="77777777" w:rsidTr="008066F5">
        <w:trPr>
          <w:trHeight w:val="1295"/>
        </w:trPr>
        <w:tc>
          <w:tcPr>
            <w:tcW w:w="1838" w:type="dxa"/>
            <w:vAlign w:val="center"/>
          </w:tcPr>
          <w:p w14:paraId="2E5BD18B" w14:textId="77777777" w:rsidR="00241B73" w:rsidRPr="007709C8" w:rsidRDefault="00241B73" w:rsidP="007709C8">
            <w:pPr>
              <w:spacing w:before="120" w:after="120" w:line="280" w:lineRule="exact"/>
              <w:rPr>
                <w:rFonts w:ascii="Verdana" w:hAnsi="Verdana"/>
                <w:sz w:val="18"/>
                <w:szCs w:val="18"/>
                <w:lang w:val="fr-FR"/>
              </w:rPr>
            </w:pPr>
          </w:p>
          <w:p w14:paraId="054F45E0" w14:textId="6EFE0B11" w:rsidR="00241B73" w:rsidRPr="007709C8" w:rsidRDefault="00241B73" w:rsidP="00F1574D">
            <w:pPr>
              <w:spacing w:before="120" w:after="120" w:line="280" w:lineRule="exact"/>
              <w:jc w:val="center"/>
              <w:rPr>
                <w:rFonts w:ascii="Verdana" w:hAnsi="Verdana"/>
                <w:sz w:val="18"/>
                <w:szCs w:val="18"/>
                <w:lang w:val="fr-FR"/>
              </w:rPr>
            </w:pPr>
            <w:r w:rsidRPr="007709C8">
              <w:rPr>
                <w:rFonts w:ascii="Verdana" w:hAnsi="Verdana"/>
                <w:sz w:val="18"/>
                <w:szCs w:val="18"/>
                <w:lang w:val="fr-FR"/>
              </w:rPr>
              <w:t>62 à 78 Diapositives obligatoires</w:t>
            </w:r>
          </w:p>
        </w:tc>
        <w:tc>
          <w:tcPr>
            <w:tcW w:w="7172" w:type="dxa"/>
            <w:gridSpan w:val="2"/>
            <w:vAlign w:val="center"/>
          </w:tcPr>
          <w:p w14:paraId="0F9C0A5C" w14:textId="77777777"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Cette section traite de la preuve électronique. Les types de preuves et comment elles apparaissent devant les juges et les procureurs.</w:t>
            </w:r>
          </w:p>
          <w:p w14:paraId="70462244" w14:textId="77777777"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Elle fait la différence entre les scènes de crime analogiques et les scènes de crime numériques.</w:t>
            </w:r>
          </w:p>
          <w:p w14:paraId="4D9D8968" w14:textId="77777777"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Elle traite ensuite des étapes du processus de criminalistique numérique en expliquant comment chacune d'entre elles fonctionne et s'intègre aux précédentes pour produire des preuves électroniques.</w:t>
            </w:r>
          </w:p>
          <w:p w14:paraId="4D384E6F" w14:textId="2FAD3A9E" w:rsidR="00241B73" w:rsidRPr="00241B73" w:rsidRDefault="00241B73" w:rsidP="00241B73">
            <w:pPr>
              <w:spacing w:line="360" w:lineRule="auto"/>
              <w:jc w:val="both"/>
              <w:rPr>
                <w:lang w:val="fr-FR"/>
              </w:rPr>
            </w:pPr>
            <w:r w:rsidRPr="00241B73">
              <w:rPr>
                <w:rFonts w:ascii="Verdana" w:hAnsi="Verdana"/>
                <w:sz w:val="18"/>
                <w:szCs w:val="18"/>
                <w:lang w:val="fr-FR"/>
              </w:rPr>
              <w:t>Il examine enfin à quoi ressemblent les preuves numériques et les types de preuves qu'ils verront.</w:t>
            </w:r>
          </w:p>
        </w:tc>
      </w:tr>
      <w:tr w:rsidR="00F1574D" w:rsidRPr="007709C8" w14:paraId="35503B3F" w14:textId="77777777" w:rsidTr="008066F5">
        <w:trPr>
          <w:trHeight w:val="1259"/>
        </w:trPr>
        <w:tc>
          <w:tcPr>
            <w:tcW w:w="1838" w:type="dxa"/>
            <w:vAlign w:val="center"/>
          </w:tcPr>
          <w:p w14:paraId="34807FD2" w14:textId="77777777" w:rsidR="00241B73" w:rsidRDefault="00241B73" w:rsidP="00F1574D">
            <w:pPr>
              <w:spacing w:before="120" w:after="120" w:line="280" w:lineRule="exact"/>
              <w:jc w:val="center"/>
              <w:rPr>
                <w:rFonts w:ascii="Verdana" w:hAnsi="Verdana"/>
                <w:sz w:val="18"/>
                <w:szCs w:val="18"/>
                <w:lang w:val="fr-FR"/>
              </w:rPr>
            </w:pPr>
          </w:p>
          <w:p w14:paraId="5DE9D224" w14:textId="40B474AE" w:rsidR="00F1574D" w:rsidRPr="00241B73" w:rsidRDefault="00241B73" w:rsidP="007709C8">
            <w:pPr>
              <w:spacing w:before="120" w:after="120" w:line="280" w:lineRule="exact"/>
              <w:jc w:val="center"/>
              <w:rPr>
                <w:rFonts w:ascii="Verdana" w:hAnsi="Verdana"/>
                <w:sz w:val="18"/>
                <w:szCs w:val="18"/>
                <w:lang w:val="fr-FR"/>
              </w:rPr>
            </w:pPr>
            <w:r>
              <w:rPr>
                <w:rFonts w:ascii="Verdana" w:hAnsi="Verdana"/>
                <w:sz w:val="18"/>
                <w:szCs w:val="18"/>
                <w:lang w:val="fr-FR"/>
              </w:rPr>
              <w:t xml:space="preserve">79 à 89 </w:t>
            </w:r>
            <w:r w:rsidRPr="00241B73">
              <w:rPr>
                <w:rFonts w:ascii="Verdana" w:hAnsi="Verdana"/>
                <w:sz w:val="18"/>
                <w:szCs w:val="18"/>
                <w:lang w:val="fr-FR"/>
              </w:rPr>
              <w:t>Diapositives obligatoires</w:t>
            </w:r>
          </w:p>
        </w:tc>
        <w:tc>
          <w:tcPr>
            <w:tcW w:w="7172" w:type="dxa"/>
            <w:gridSpan w:val="2"/>
            <w:vAlign w:val="center"/>
          </w:tcPr>
          <w:p w14:paraId="6E2FA816" w14:textId="3AFFE431" w:rsidR="00241B73" w:rsidRPr="00241B73" w:rsidRDefault="00241B73" w:rsidP="00241B73">
            <w:pPr>
              <w:spacing w:line="360" w:lineRule="auto"/>
              <w:jc w:val="both"/>
              <w:rPr>
                <w:rFonts w:ascii="Verdana" w:hAnsi="Verdana"/>
                <w:sz w:val="18"/>
                <w:szCs w:val="18"/>
                <w:lang w:val="fr-FR"/>
              </w:rPr>
            </w:pPr>
            <w:r w:rsidRPr="00241B73">
              <w:rPr>
                <w:rFonts w:ascii="Verdana" w:hAnsi="Verdana"/>
                <w:sz w:val="18"/>
                <w:szCs w:val="18"/>
                <w:lang w:val="fr-FR"/>
              </w:rPr>
              <w:t>Ces diapositives clôturent la session en récapitulant le contenu et en donnant l'occasion aux délégués de poser des questions pour obtenir des éclaircissements.</w:t>
            </w:r>
          </w:p>
        </w:tc>
      </w:tr>
      <w:tr w:rsidR="00CB3026" w:rsidRPr="007709C8" w14:paraId="2ECF09B7" w14:textId="77777777" w:rsidTr="00F1574D">
        <w:trPr>
          <w:trHeight w:val="890"/>
        </w:trPr>
        <w:tc>
          <w:tcPr>
            <w:tcW w:w="9010" w:type="dxa"/>
            <w:gridSpan w:val="3"/>
            <w:vAlign w:val="center"/>
          </w:tcPr>
          <w:p w14:paraId="4178F6C5" w14:textId="77777777" w:rsidR="00241B73" w:rsidRPr="00241B73" w:rsidRDefault="00241B73" w:rsidP="00241B73">
            <w:pPr>
              <w:spacing w:before="120" w:after="120" w:line="280" w:lineRule="exact"/>
              <w:rPr>
                <w:rFonts w:ascii="Verdana" w:hAnsi="Verdana"/>
                <w:b/>
                <w:bCs/>
                <w:sz w:val="22"/>
                <w:szCs w:val="22"/>
                <w:lang w:val="fr-FR"/>
              </w:rPr>
            </w:pPr>
            <w:r w:rsidRPr="00241B73">
              <w:rPr>
                <w:rFonts w:ascii="Verdana" w:hAnsi="Verdana"/>
                <w:b/>
                <w:bCs/>
                <w:sz w:val="22"/>
                <w:szCs w:val="22"/>
                <w:lang w:val="fr-FR"/>
              </w:rPr>
              <w:lastRenderedPageBreak/>
              <w:t>Exercices pratiques</w:t>
            </w:r>
          </w:p>
          <w:p w14:paraId="04D65D89" w14:textId="589FC499" w:rsidR="00241B73" w:rsidRPr="00241B73" w:rsidRDefault="00241B73" w:rsidP="00241B73">
            <w:pPr>
              <w:spacing w:before="120" w:after="120" w:line="280" w:lineRule="exact"/>
              <w:rPr>
                <w:rFonts w:ascii="Verdana" w:hAnsi="Verdana"/>
                <w:sz w:val="18"/>
                <w:szCs w:val="18"/>
                <w:lang w:val="fr-FR"/>
              </w:rPr>
            </w:pPr>
            <w:r w:rsidRPr="00241B73">
              <w:rPr>
                <w:rFonts w:ascii="Verdana" w:hAnsi="Verdana"/>
                <w:sz w:val="18"/>
                <w:szCs w:val="18"/>
                <w:lang w:val="fr-FR"/>
              </w:rPr>
              <w:t>Un exercice pratique est envisagé, au cours duquel le formateur distribue de petits appareils liés à l'informatique et permet aux délégués de les manipuler - avant de se déplacer parmi eux et de discuter avec eux de ce qu'ils ont et de l'utilité éventuelle de ces appareils dans le cadre d'une cybercriminalité.</w:t>
            </w:r>
          </w:p>
        </w:tc>
      </w:tr>
      <w:tr w:rsidR="00CB3026" w:rsidRPr="007709C8" w14:paraId="603967A2" w14:textId="77777777" w:rsidTr="00F1574D">
        <w:tc>
          <w:tcPr>
            <w:tcW w:w="9010" w:type="dxa"/>
            <w:gridSpan w:val="3"/>
            <w:vAlign w:val="center"/>
          </w:tcPr>
          <w:p w14:paraId="08208D8C" w14:textId="77777777" w:rsidR="00206C5D" w:rsidRPr="00206C5D" w:rsidRDefault="00206C5D" w:rsidP="00206C5D">
            <w:pPr>
              <w:spacing w:before="120" w:after="120" w:line="280" w:lineRule="exact"/>
              <w:rPr>
                <w:rFonts w:ascii="Verdana" w:hAnsi="Verdana"/>
                <w:b/>
                <w:bCs/>
                <w:sz w:val="22"/>
                <w:szCs w:val="22"/>
                <w:lang w:val="fr-FR"/>
              </w:rPr>
            </w:pPr>
            <w:r w:rsidRPr="00206C5D">
              <w:rPr>
                <w:rFonts w:ascii="Verdana" w:hAnsi="Verdana"/>
                <w:b/>
                <w:bCs/>
                <w:sz w:val="22"/>
                <w:szCs w:val="22"/>
                <w:lang w:val="fr-FR"/>
              </w:rPr>
              <w:t>Évaluation/vérification des connaissances</w:t>
            </w:r>
          </w:p>
          <w:p w14:paraId="4496975B" w14:textId="63E2D7F9" w:rsidR="00206C5D" w:rsidRPr="00206C5D" w:rsidRDefault="00206C5D" w:rsidP="00206C5D">
            <w:pPr>
              <w:spacing w:before="120" w:after="120" w:line="280" w:lineRule="exact"/>
              <w:rPr>
                <w:rFonts w:ascii="Verdana" w:hAnsi="Verdana"/>
                <w:sz w:val="18"/>
                <w:szCs w:val="18"/>
                <w:lang w:val="fr-FR"/>
              </w:rPr>
            </w:pPr>
            <w:r w:rsidRPr="00206C5D">
              <w:rPr>
                <w:rFonts w:ascii="Verdana" w:hAnsi="Verdana"/>
                <w:sz w:val="18"/>
                <w:szCs w:val="18"/>
                <w:lang w:val="fr-FR"/>
              </w:rPr>
              <w:t>Aucune vérification ou évaluation des connaissances n'a été demandée pour cette session.</w:t>
            </w:r>
          </w:p>
        </w:tc>
      </w:tr>
    </w:tbl>
    <w:p w14:paraId="15498912" w14:textId="77777777" w:rsidR="00D82C18" w:rsidRPr="00206C5D" w:rsidRDefault="00D82C18">
      <w:pPr>
        <w:rPr>
          <w:rFonts w:ascii="Verdana" w:hAnsi="Verdana"/>
          <w:lang w:val="fr-FR"/>
        </w:rPr>
      </w:pPr>
    </w:p>
    <w:sectPr w:rsidR="00D82C18" w:rsidRPr="00206C5D"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60402020202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A7F4BE9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B0D4C"/>
    <w:rsid w:val="000C40EE"/>
    <w:rsid w:val="000F7896"/>
    <w:rsid w:val="001772C5"/>
    <w:rsid w:val="001C4E99"/>
    <w:rsid w:val="001D603D"/>
    <w:rsid w:val="001E7389"/>
    <w:rsid w:val="00206C5D"/>
    <w:rsid w:val="00241B73"/>
    <w:rsid w:val="00271010"/>
    <w:rsid w:val="002B214F"/>
    <w:rsid w:val="002E3ECE"/>
    <w:rsid w:val="002F3B54"/>
    <w:rsid w:val="00314D32"/>
    <w:rsid w:val="0034224C"/>
    <w:rsid w:val="00342639"/>
    <w:rsid w:val="003453F7"/>
    <w:rsid w:val="003630ED"/>
    <w:rsid w:val="003A435F"/>
    <w:rsid w:val="003F6587"/>
    <w:rsid w:val="00450007"/>
    <w:rsid w:val="00457DD3"/>
    <w:rsid w:val="004B7351"/>
    <w:rsid w:val="00556D69"/>
    <w:rsid w:val="005703B7"/>
    <w:rsid w:val="005A4E47"/>
    <w:rsid w:val="005D4432"/>
    <w:rsid w:val="006527C6"/>
    <w:rsid w:val="006B0B52"/>
    <w:rsid w:val="006C75E4"/>
    <w:rsid w:val="0075334E"/>
    <w:rsid w:val="007678A6"/>
    <w:rsid w:val="007709C8"/>
    <w:rsid w:val="008066F5"/>
    <w:rsid w:val="00844FBF"/>
    <w:rsid w:val="008817F1"/>
    <w:rsid w:val="008A4C93"/>
    <w:rsid w:val="008E3FE7"/>
    <w:rsid w:val="00906F18"/>
    <w:rsid w:val="00951791"/>
    <w:rsid w:val="009D1DB1"/>
    <w:rsid w:val="009E3827"/>
    <w:rsid w:val="009F336B"/>
    <w:rsid w:val="00A03CF0"/>
    <w:rsid w:val="00A342ED"/>
    <w:rsid w:val="00A4110D"/>
    <w:rsid w:val="00A734A5"/>
    <w:rsid w:val="00A76996"/>
    <w:rsid w:val="00AA5742"/>
    <w:rsid w:val="00B3608C"/>
    <w:rsid w:val="00B5478B"/>
    <w:rsid w:val="00C115FC"/>
    <w:rsid w:val="00C541A2"/>
    <w:rsid w:val="00C70C5C"/>
    <w:rsid w:val="00CB02C4"/>
    <w:rsid w:val="00CB3026"/>
    <w:rsid w:val="00CC1F79"/>
    <w:rsid w:val="00D82C18"/>
    <w:rsid w:val="00E13BE7"/>
    <w:rsid w:val="00E7344B"/>
    <w:rsid w:val="00E77721"/>
    <w:rsid w:val="00E95703"/>
    <w:rsid w:val="00F1574D"/>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Evelyne Barry</cp:lastModifiedBy>
  <cp:revision>3</cp:revision>
  <dcterms:created xsi:type="dcterms:W3CDTF">2021-01-25T10:52:00Z</dcterms:created>
  <dcterms:modified xsi:type="dcterms:W3CDTF">2021-01-25T10:57:00Z</dcterms:modified>
</cp:coreProperties>
</file>